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2E0618" w14:textId="5235D424" w:rsidR="007E7E11" w:rsidRPr="001814E9" w:rsidRDefault="007E7E11" w:rsidP="007E7E11">
      <w:pPr>
        <w:jc w:val="right"/>
        <w:rPr>
          <w:rFonts w:ascii="Arial" w:hAnsi="Arial" w:cs="Arial"/>
          <w:sz w:val="22"/>
          <w:szCs w:val="22"/>
        </w:rPr>
      </w:pPr>
      <w:r w:rsidRPr="001814E9">
        <w:rPr>
          <w:rFonts w:ascii="Arial" w:hAnsi="Arial" w:cs="Arial"/>
          <w:sz w:val="22"/>
          <w:szCs w:val="22"/>
        </w:rPr>
        <w:t xml:space="preserve">Minuta: </w:t>
      </w:r>
      <w:r w:rsidR="005C20E3">
        <w:rPr>
          <w:rFonts w:ascii="Arial" w:hAnsi="Arial" w:cs="Arial"/>
          <w:sz w:val="22"/>
          <w:szCs w:val="22"/>
        </w:rPr>
        <w:t>16.11.21</w:t>
      </w:r>
      <w:bookmarkStart w:id="0" w:name="_GoBack"/>
      <w:bookmarkEnd w:id="0"/>
    </w:p>
    <w:p w14:paraId="4D8CE023" w14:textId="77777777" w:rsidR="007E7E11" w:rsidRPr="001814E9" w:rsidRDefault="007E7E11" w:rsidP="00915049">
      <w:pPr>
        <w:jc w:val="center"/>
        <w:rPr>
          <w:rFonts w:ascii="Arial" w:hAnsi="Arial" w:cs="Arial"/>
          <w:b/>
          <w:bCs/>
          <w:sz w:val="22"/>
          <w:szCs w:val="22"/>
        </w:rPr>
      </w:pPr>
    </w:p>
    <w:p w14:paraId="47A2B8BB" w14:textId="5B145288" w:rsidR="00915049" w:rsidRPr="001814E9" w:rsidRDefault="00FC4665" w:rsidP="00915049">
      <w:pPr>
        <w:jc w:val="center"/>
        <w:rPr>
          <w:rFonts w:ascii="Arial" w:hAnsi="Arial" w:cs="Arial"/>
          <w:b/>
          <w:bCs/>
          <w:sz w:val="22"/>
          <w:szCs w:val="22"/>
        </w:rPr>
      </w:pPr>
      <w:r>
        <w:rPr>
          <w:rFonts w:ascii="Arial" w:hAnsi="Arial" w:cs="Arial"/>
          <w:b/>
          <w:bCs/>
          <w:sz w:val="22"/>
          <w:szCs w:val="22"/>
        </w:rPr>
        <w:t>ANEXO V</w:t>
      </w:r>
    </w:p>
    <w:p w14:paraId="4895BE11" w14:textId="77777777" w:rsidR="00915049" w:rsidRPr="001814E9" w:rsidRDefault="00915049" w:rsidP="00915049">
      <w:pPr>
        <w:suppressAutoHyphens w:val="0"/>
        <w:spacing w:line="360" w:lineRule="auto"/>
        <w:jc w:val="center"/>
        <w:rPr>
          <w:rFonts w:ascii="Arial" w:hAnsi="Arial" w:cs="Arial"/>
          <w:b/>
          <w:bCs/>
          <w:sz w:val="22"/>
          <w:szCs w:val="22"/>
          <w:lang w:eastAsia="pt-BR"/>
        </w:rPr>
      </w:pPr>
    </w:p>
    <w:p w14:paraId="33A96DBD" w14:textId="77777777" w:rsidR="00915049" w:rsidRPr="001814E9" w:rsidRDefault="00915049" w:rsidP="00915049">
      <w:pPr>
        <w:suppressAutoHyphens w:val="0"/>
        <w:spacing w:line="360" w:lineRule="auto"/>
        <w:jc w:val="center"/>
        <w:rPr>
          <w:rFonts w:ascii="Arial" w:hAnsi="Arial" w:cs="Arial"/>
          <w:b/>
          <w:bCs/>
          <w:sz w:val="22"/>
          <w:szCs w:val="22"/>
          <w:lang w:eastAsia="pt-BR"/>
        </w:rPr>
      </w:pPr>
      <w:r w:rsidRPr="001814E9">
        <w:rPr>
          <w:rFonts w:ascii="Arial" w:hAnsi="Arial" w:cs="Arial"/>
          <w:b/>
          <w:bCs/>
          <w:sz w:val="22"/>
          <w:szCs w:val="22"/>
          <w:lang w:eastAsia="pt-BR"/>
        </w:rPr>
        <w:t>CÁLCULO DA RECOMPOSIÇÃO DO EQUILÍBRIO ECONÔMICO-FINANCEIRO</w:t>
      </w:r>
    </w:p>
    <w:p w14:paraId="05E3C428" w14:textId="77777777" w:rsidR="00915049" w:rsidRPr="001814E9" w:rsidRDefault="00915049" w:rsidP="00915049">
      <w:pPr>
        <w:suppressAutoHyphens w:val="0"/>
        <w:spacing w:line="360" w:lineRule="auto"/>
        <w:jc w:val="both"/>
        <w:rPr>
          <w:rFonts w:ascii="Arial" w:hAnsi="Arial" w:cs="Arial"/>
          <w:sz w:val="22"/>
          <w:szCs w:val="22"/>
          <w:lang w:eastAsia="pt-BR"/>
        </w:rPr>
      </w:pPr>
    </w:p>
    <w:p w14:paraId="0DE8D381" w14:textId="77777777" w:rsidR="00915049" w:rsidRPr="001814E9" w:rsidRDefault="00915049" w:rsidP="001814E9">
      <w:pPr>
        <w:suppressAutoHyphens w:val="0"/>
        <w:spacing w:before="120" w:after="120" w:line="360" w:lineRule="auto"/>
        <w:jc w:val="both"/>
        <w:rPr>
          <w:rFonts w:ascii="Arial" w:hAnsi="Arial" w:cs="Arial"/>
          <w:sz w:val="22"/>
          <w:szCs w:val="22"/>
          <w:lang w:eastAsia="pt-BR"/>
        </w:rPr>
      </w:pPr>
      <w:r w:rsidRPr="001814E9">
        <w:rPr>
          <w:rFonts w:ascii="Arial" w:hAnsi="Arial" w:cs="Arial"/>
          <w:sz w:val="22"/>
          <w:szCs w:val="22"/>
          <w:lang w:eastAsia="pt-BR"/>
        </w:rPr>
        <w:t xml:space="preserve">1. O processo de recomposição do equilíbrio econômico-financeiro será realizado por meio de planilha desenvolvida exclusivamente para esse fim, que conte com a sobreposição de fluxos de caixa, de forma que seja nulo o valor presente líquido do FLUXO DE CAIXA MARGINAL em razão do EVENTO DE DESEQUILÍBRIO, considerando: os fluxos das DISPÊNDIOS e receitas marginais resultantes do EVENTO DE DESEQUILÍBRIO, trazidos a valor presente líquido, conforme a seguinte equação: </w:t>
      </w:r>
    </w:p>
    <w:p w14:paraId="730E7373" w14:textId="77777777" w:rsidR="00915049" w:rsidRPr="001814E9" w:rsidRDefault="00915049" w:rsidP="001814E9">
      <w:pPr>
        <w:pStyle w:val="PargrafodaLista"/>
        <w:spacing w:before="120" w:after="120" w:line="360" w:lineRule="auto"/>
        <w:contextualSpacing w:val="0"/>
        <w:jc w:val="center"/>
        <w:rPr>
          <w:rFonts w:ascii="Arial" w:hAnsi="Arial" w:cs="Arial"/>
          <w:sz w:val="22"/>
          <w:szCs w:val="22"/>
        </w:rPr>
      </w:pPr>
      <w:r w:rsidRPr="001814E9">
        <w:rPr>
          <w:rFonts w:ascii="Cambria Math" w:hAnsi="Cambria Math" w:cs="Cambria Math"/>
          <w:sz w:val="22"/>
          <w:szCs w:val="22"/>
        </w:rPr>
        <w:t>𝑉𝑃𝐿</w:t>
      </w:r>
      <w:r w:rsidRPr="001814E9">
        <w:rPr>
          <w:rFonts w:ascii="Arial" w:hAnsi="Arial" w:cs="Arial"/>
          <w:sz w:val="22"/>
          <w:szCs w:val="22"/>
        </w:rPr>
        <w:t xml:space="preserve"> = </w:t>
      </w:r>
      <w:proofErr w:type="gramStart"/>
      <w:r w:rsidRPr="001814E9">
        <w:rPr>
          <w:rFonts w:ascii="Arial" w:hAnsi="Arial" w:cs="Arial"/>
          <w:sz w:val="22"/>
          <w:szCs w:val="22"/>
        </w:rPr>
        <w:t xml:space="preserve">∑( </w:t>
      </w:r>
      <w:r w:rsidRPr="001814E9">
        <w:rPr>
          <w:rFonts w:ascii="Cambria Math" w:hAnsi="Cambria Math" w:cs="Cambria Math"/>
          <w:sz w:val="22"/>
          <w:szCs w:val="22"/>
        </w:rPr>
        <w:t>𝐶𝑡</w:t>
      </w:r>
      <w:proofErr w:type="gramEnd"/>
      <w:r w:rsidRPr="001814E9">
        <w:rPr>
          <w:rFonts w:ascii="Arial" w:hAnsi="Arial" w:cs="Arial"/>
          <w:sz w:val="22"/>
          <w:szCs w:val="22"/>
        </w:rPr>
        <w:t xml:space="preserve"> (1 + </w:t>
      </w:r>
      <w:r w:rsidRPr="001814E9">
        <w:rPr>
          <w:rFonts w:ascii="Cambria Math" w:hAnsi="Cambria Math" w:cs="Cambria Math"/>
          <w:sz w:val="22"/>
          <w:szCs w:val="22"/>
        </w:rPr>
        <w:t>𝑟</w:t>
      </w:r>
      <w:r w:rsidRPr="001814E9">
        <w:rPr>
          <w:rFonts w:ascii="Arial" w:hAnsi="Arial" w:cs="Arial"/>
          <w:sz w:val="22"/>
          <w:szCs w:val="22"/>
        </w:rPr>
        <w:t xml:space="preserve">) </w:t>
      </w:r>
      <w:r w:rsidRPr="001814E9">
        <w:rPr>
          <w:rFonts w:ascii="Cambria Math" w:hAnsi="Cambria Math" w:cs="Cambria Math"/>
          <w:sz w:val="22"/>
          <w:szCs w:val="22"/>
        </w:rPr>
        <w:t>𝑡</w:t>
      </w:r>
      <w:r w:rsidRPr="001814E9">
        <w:rPr>
          <w:rFonts w:ascii="Arial" w:hAnsi="Arial" w:cs="Arial"/>
          <w:sz w:val="22"/>
          <w:szCs w:val="22"/>
        </w:rPr>
        <w:t xml:space="preserve"> ) </w:t>
      </w:r>
      <w:r w:rsidRPr="001814E9">
        <w:rPr>
          <w:rFonts w:ascii="Cambria Math" w:hAnsi="Cambria Math" w:cs="Cambria Math"/>
          <w:sz w:val="22"/>
          <w:szCs w:val="22"/>
        </w:rPr>
        <w:t>𝑇</w:t>
      </w:r>
      <w:r w:rsidRPr="001814E9">
        <w:rPr>
          <w:rFonts w:ascii="Arial" w:hAnsi="Arial" w:cs="Arial"/>
          <w:sz w:val="22"/>
          <w:szCs w:val="22"/>
        </w:rPr>
        <w:t xml:space="preserve"> </w:t>
      </w:r>
      <w:r w:rsidRPr="001814E9">
        <w:rPr>
          <w:rFonts w:ascii="Cambria Math" w:hAnsi="Cambria Math" w:cs="Cambria Math"/>
          <w:sz w:val="22"/>
          <w:szCs w:val="22"/>
        </w:rPr>
        <w:t>𝑡</w:t>
      </w:r>
      <w:r w:rsidRPr="001814E9">
        <w:rPr>
          <w:rFonts w:ascii="Arial" w:hAnsi="Arial" w:cs="Arial"/>
          <w:sz w:val="22"/>
          <w:szCs w:val="22"/>
        </w:rPr>
        <w:t>=1</w:t>
      </w:r>
    </w:p>
    <w:p w14:paraId="3C131844" w14:textId="77777777" w:rsidR="00915049" w:rsidRPr="001814E9" w:rsidRDefault="00915049" w:rsidP="001814E9">
      <w:pPr>
        <w:pStyle w:val="PargrafodaLista"/>
        <w:spacing w:before="120" w:after="120" w:line="360" w:lineRule="auto"/>
        <w:contextualSpacing w:val="0"/>
        <w:jc w:val="both"/>
        <w:rPr>
          <w:rFonts w:ascii="Arial" w:hAnsi="Arial" w:cs="Arial"/>
          <w:sz w:val="22"/>
          <w:szCs w:val="22"/>
        </w:rPr>
      </w:pPr>
      <w:r w:rsidRPr="001814E9">
        <w:rPr>
          <w:rFonts w:ascii="Arial" w:hAnsi="Arial" w:cs="Arial"/>
          <w:sz w:val="22"/>
          <w:szCs w:val="22"/>
        </w:rPr>
        <w:t xml:space="preserve">Em que: </w:t>
      </w:r>
    </w:p>
    <w:p w14:paraId="06BE222F" w14:textId="77777777" w:rsidR="00915049" w:rsidRPr="001814E9" w:rsidRDefault="00915049" w:rsidP="001814E9">
      <w:pPr>
        <w:pStyle w:val="PargrafodaLista"/>
        <w:spacing w:before="120" w:after="120" w:line="360" w:lineRule="auto"/>
        <w:contextualSpacing w:val="0"/>
        <w:jc w:val="both"/>
        <w:rPr>
          <w:rFonts w:ascii="Arial" w:hAnsi="Arial" w:cs="Arial"/>
          <w:sz w:val="22"/>
          <w:szCs w:val="22"/>
        </w:rPr>
      </w:pPr>
      <w:proofErr w:type="spellStart"/>
      <w:r w:rsidRPr="001814E9">
        <w:rPr>
          <w:rFonts w:ascii="Arial" w:hAnsi="Arial" w:cs="Arial"/>
          <w:sz w:val="22"/>
          <w:szCs w:val="22"/>
        </w:rPr>
        <w:t>VPL</w:t>
      </w:r>
      <w:proofErr w:type="spellEnd"/>
      <w:r w:rsidRPr="001814E9">
        <w:rPr>
          <w:rFonts w:ascii="Arial" w:hAnsi="Arial" w:cs="Arial"/>
          <w:sz w:val="22"/>
          <w:szCs w:val="22"/>
        </w:rPr>
        <w:t xml:space="preserve">: valor presente líquido do fluxo de caixa elaborado para demonstrar os efeitos dos EVENTOS DE DESEQUILÍBRIO que deram causa ao pedido de recomposição do equilíbrio econômico-financeiro do CONTRATO. </w:t>
      </w:r>
    </w:p>
    <w:p w14:paraId="69463AFC" w14:textId="77777777" w:rsidR="00915049" w:rsidRPr="001814E9" w:rsidRDefault="00915049" w:rsidP="001814E9">
      <w:pPr>
        <w:pStyle w:val="PargrafodaLista"/>
        <w:spacing w:before="120" w:after="120" w:line="360" w:lineRule="auto"/>
        <w:contextualSpacing w:val="0"/>
        <w:jc w:val="both"/>
        <w:rPr>
          <w:rFonts w:ascii="Arial" w:hAnsi="Arial" w:cs="Arial"/>
          <w:sz w:val="22"/>
          <w:szCs w:val="22"/>
        </w:rPr>
      </w:pPr>
      <w:proofErr w:type="gramStart"/>
      <w:r w:rsidRPr="001814E9">
        <w:rPr>
          <w:rFonts w:ascii="Arial" w:hAnsi="Arial" w:cs="Arial"/>
          <w:sz w:val="22"/>
          <w:szCs w:val="22"/>
        </w:rPr>
        <w:t>t</w:t>
      </w:r>
      <w:proofErr w:type="gramEnd"/>
      <w:r w:rsidRPr="001814E9">
        <w:rPr>
          <w:rFonts w:ascii="Arial" w:hAnsi="Arial" w:cs="Arial"/>
          <w:sz w:val="22"/>
          <w:szCs w:val="22"/>
        </w:rPr>
        <w:t xml:space="preserve">: período de referência (ano) para a instituição dos efeitos dos EVENTOS. </w:t>
      </w:r>
    </w:p>
    <w:p w14:paraId="4B37674B" w14:textId="77777777" w:rsidR="00915049" w:rsidRPr="001814E9" w:rsidRDefault="00915049" w:rsidP="001814E9">
      <w:pPr>
        <w:pStyle w:val="PargrafodaLista"/>
        <w:spacing w:before="120" w:after="120" w:line="360" w:lineRule="auto"/>
        <w:contextualSpacing w:val="0"/>
        <w:jc w:val="both"/>
        <w:rPr>
          <w:rFonts w:ascii="Arial" w:hAnsi="Arial" w:cs="Arial"/>
          <w:sz w:val="22"/>
          <w:szCs w:val="22"/>
        </w:rPr>
      </w:pPr>
      <w:r w:rsidRPr="001814E9">
        <w:rPr>
          <w:rFonts w:ascii="Arial" w:hAnsi="Arial" w:cs="Arial"/>
          <w:sz w:val="22"/>
          <w:szCs w:val="22"/>
        </w:rPr>
        <w:t xml:space="preserve">C: Valor Monetário Constante do impacto dos EVENTOS DE DESEQUILÍBRIO </w:t>
      </w:r>
      <w:proofErr w:type="gramStart"/>
      <w:r w:rsidRPr="001814E9">
        <w:rPr>
          <w:rFonts w:ascii="Arial" w:hAnsi="Arial" w:cs="Arial"/>
          <w:sz w:val="22"/>
          <w:szCs w:val="22"/>
        </w:rPr>
        <w:t>no</w:t>
      </w:r>
      <w:proofErr w:type="gramEnd"/>
      <w:r w:rsidRPr="001814E9">
        <w:rPr>
          <w:rFonts w:ascii="Arial" w:hAnsi="Arial" w:cs="Arial"/>
          <w:sz w:val="22"/>
          <w:szCs w:val="22"/>
        </w:rPr>
        <w:t xml:space="preserve"> fluxo de caixa marginal livre em cada período t. </w:t>
      </w:r>
    </w:p>
    <w:p w14:paraId="56BC6108" w14:textId="77777777" w:rsidR="00915049" w:rsidRPr="001814E9" w:rsidRDefault="00915049" w:rsidP="001814E9">
      <w:pPr>
        <w:pStyle w:val="PargrafodaLista"/>
        <w:spacing w:before="120" w:after="120" w:line="360" w:lineRule="auto"/>
        <w:contextualSpacing w:val="0"/>
        <w:jc w:val="both"/>
        <w:rPr>
          <w:rFonts w:ascii="Arial" w:hAnsi="Arial" w:cs="Arial"/>
          <w:sz w:val="22"/>
          <w:szCs w:val="22"/>
        </w:rPr>
      </w:pPr>
      <w:proofErr w:type="gramStart"/>
      <w:r w:rsidRPr="001814E9">
        <w:rPr>
          <w:rFonts w:ascii="Arial" w:hAnsi="Arial" w:cs="Arial"/>
          <w:sz w:val="22"/>
          <w:szCs w:val="22"/>
        </w:rPr>
        <w:t>r</w:t>
      </w:r>
      <w:proofErr w:type="gramEnd"/>
      <w:r w:rsidRPr="001814E9">
        <w:rPr>
          <w:rFonts w:ascii="Arial" w:hAnsi="Arial" w:cs="Arial"/>
          <w:sz w:val="22"/>
          <w:szCs w:val="22"/>
        </w:rPr>
        <w:t xml:space="preserve">: taxa de desconto calculada a partir das regras do item 2 abaixo. O cálculo deve ser realizado considerando os valores na data-base da assinatura do CONTRATO. </w:t>
      </w:r>
    </w:p>
    <w:p w14:paraId="13E35104" w14:textId="77777777" w:rsidR="00915049" w:rsidRPr="001814E9" w:rsidRDefault="00915049" w:rsidP="001814E9">
      <w:pPr>
        <w:pStyle w:val="PargrafodaLista"/>
        <w:spacing w:before="120" w:after="120" w:line="360" w:lineRule="auto"/>
        <w:contextualSpacing w:val="0"/>
        <w:jc w:val="both"/>
        <w:rPr>
          <w:rFonts w:ascii="Arial" w:hAnsi="Arial" w:cs="Arial"/>
          <w:sz w:val="22"/>
          <w:szCs w:val="22"/>
        </w:rPr>
      </w:pPr>
    </w:p>
    <w:p w14:paraId="49EA963C" w14:textId="453661B8" w:rsidR="00915049" w:rsidRPr="001814E9" w:rsidRDefault="00915049" w:rsidP="001814E9">
      <w:pPr>
        <w:suppressAutoHyphens w:val="0"/>
        <w:spacing w:before="120" w:after="120" w:line="360" w:lineRule="auto"/>
        <w:jc w:val="both"/>
        <w:rPr>
          <w:rFonts w:ascii="Arial" w:hAnsi="Arial" w:cs="Arial"/>
          <w:sz w:val="22"/>
          <w:szCs w:val="22"/>
          <w:lang w:eastAsia="pt-BR"/>
        </w:rPr>
      </w:pPr>
      <w:r w:rsidRPr="001814E9">
        <w:rPr>
          <w:rFonts w:ascii="Arial" w:hAnsi="Arial" w:cs="Arial"/>
          <w:sz w:val="22"/>
          <w:szCs w:val="22"/>
          <w:lang w:eastAsia="pt-BR"/>
        </w:rPr>
        <w:t>2. N</w:t>
      </w:r>
      <w:r w:rsidRPr="001814E9">
        <w:rPr>
          <w:rFonts w:ascii="Arial" w:hAnsi="Arial" w:cs="Arial"/>
          <w:sz w:val="22"/>
          <w:szCs w:val="22"/>
        </w:rPr>
        <w:t>a ocorrência dos EVENTOS DE DESEQUILÍBRIO, a Taxa de Desconto real anual a ser utilizada será composta pela média dos últimos 12 (doze) meses da taxa bruta de juros de venda das Notas do Tesouro IPCA+ com juros Semestrais (</w:t>
      </w:r>
      <w:proofErr w:type="spellStart"/>
      <w:r w:rsidRPr="001814E9">
        <w:rPr>
          <w:rFonts w:ascii="Arial" w:hAnsi="Arial" w:cs="Arial"/>
          <w:sz w:val="22"/>
          <w:szCs w:val="22"/>
        </w:rPr>
        <w:t>NTN</w:t>
      </w:r>
      <w:proofErr w:type="spellEnd"/>
      <w:r w:rsidRPr="001814E9">
        <w:rPr>
          <w:rFonts w:ascii="Arial" w:hAnsi="Arial" w:cs="Arial"/>
          <w:sz w:val="22"/>
          <w:szCs w:val="22"/>
        </w:rPr>
        <w:t xml:space="preserve">-B) ou, na ausência deste, outro que o substitua, </w:t>
      </w:r>
      <w:proofErr w:type="spellStart"/>
      <w:r w:rsidRPr="001814E9">
        <w:rPr>
          <w:rFonts w:ascii="Arial" w:hAnsi="Arial" w:cs="Arial"/>
          <w:i/>
          <w:iCs/>
          <w:sz w:val="22"/>
          <w:szCs w:val="22"/>
        </w:rPr>
        <w:t>ex</w:t>
      </w:r>
      <w:proofErr w:type="spellEnd"/>
      <w:r w:rsidRPr="001814E9">
        <w:rPr>
          <w:rFonts w:ascii="Arial" w:hAnsi="Arial" w:cs="Arial"/>
          <w:i/>
          <w:iCs/>
          <w:sz w:val="22"/>
          <w:szCs w:val="22"/>
        </w:rPr>
        <w:t xml:space="preserve"> ante</w:t>
      </w:r>
      <w:r w:rsidRPr="001814E9">
        <w:rPr>
          <w:rFonts w:ascii="Arial" w:hAnsi="Arial" w:cs="Arial"/>
          <w:sz w:val="22"/>
          <w:szCs w:val="22"/>
        </w:rPr>
        <w:t xml:space="preserve"> a dedução do Imposto de Renda, com vencimento em 30 (trinta) anos, contados a partir da data de assinatura deste CONTRATO, ou vencimento mais compatível com a data do termo contratual, publicada pela Secretaria do Tesouro Nacional, apurada no início de cada ano contratual, capitalizada de um spread ou sobretaxa sobre os juros equivalente a </w:t>
      </w:r>
      <w:r w:rsidR="00AB7A81" w:rsidRPr="00AB7A81">
        <w:rPr>
          <w:rFonts w:ascii="Arial" w:hAnsi="Arial" w:cs="Arial"/>
          <w:sz w:val="22"/>
          <w:szCs w:val="22"/>
        </w:rPr>
        <w:t>163,72%</w:t>
      </w:r>
      <w:r w:rsidRPr="001814E9">
        <w:rPr>
          <w:rFonts w:ascii="Arial" w:hAnsi="Arial" w:cs="Arial"/>
          <w:sz w:val="22"/>
          <w:szCs w:val="22"/>
        </w:rPr>
        <w:t xml:space="preserve"> (cento e </w:t>
      </w:r>
      <w:r w:rsidR="00AB7A81">
        <w:rPr>
          <w:rFonts w:ascii="Arial" w:hAnsi="Arial" w:cs="Arial"/>
          <w:sz w:val="22"/>
          <w:szCs w:val="22"/>
        </w:rPr>
        <w:t>sessenta e três e setenta e dois por cento</w:t>
      </w:r>
      <w:r w:rsidRPr="001814E9">
        <w:rPr>
          <w:rFonts w:ascii="Arial" w:hAnsi="Arial" w:cs="Arial"/>
          <w:sz w:val="22"/>
          <w:szCs w:val="22"/>
        </w:rPr>
        <w:t xml:space="preserve">), ao ano, base 252 (duzentos e cinquenta e dois) dias úteis. No caso de Notas do Tesouro inexistente para o vencimento estabelecido acima, deverá ser considerada a de vencimento mais próximo. </w:t>
      </w:r>
      <w:r w:rsidRPr="001814E9">
        <w:rPr>
          <w:rFonts w:ascii="Arial" w:hAnsi="Arial" w:cs="Arial"/>
          <w:sz w:val="22"/>
          <w:szCs w:val="22"/>
        </w:rPr>
        <w:lastRenderedPageBreak/>
        <w:t xml:space="preserve">Independentemente do resultado do cálculo indicado, a Taxa de Desconto real anual a ser utilizada no cálculo do Valor Presente não poderá ser inferior a 2,32% (dois inteiros e trinta e dois centésimos por cento). </w:t>
      </w:r>
    </w:p>
    <w:p w14:paraId="51E0F76C" w14:textId="77777777" w:rsidR="00915049" w:rsidRPr="001814E9" w:rsidRDefault="00915049" w:rsidP="001814E9">
      <w:pPr>
        <w:pStyle w:val="PargrafodaLista"/>
        <w:spacing w:before="120" w:after="120" w:line="360" w:lineRule="auto"/>
        <w:contextualSpacing w:val="0"/>
        <w:jc w:val="both"/>
        <w:rPr>
          <w:rFonts w:ascii="Arial" w:hAnsi="Arial" w:cs="Arial"/>
          <w:sz w:val="22"/>
          <w:szCs w:val="22"/>
        </w:rPr>
      </w:pPr>
    </w:p>
    <w:p w14:paraId="3E80D8C1" w14:textId="77777777" w:rsidR="00915049" w:rsidRPr="001814E9" w:rsidRDefault="00915049" w:rsidP="001814E9">
      <w:pPr>
        <w:suppressAutoHyphens w:val="0"/>
        <w:spacing w:before="120" w:after="120" w:line="360" w:lineRule="auto"/>
        <w:jc w:val="both"/>
        <w:rPr>
          <w:rFonts w:ascii="Arial" w:hAnsi="Arial" w:cs="Arial"/>
          <w:sz w:val="22"/>
          <w:szCs w:val="22"/>
          <w:lang w:eastAsia="pt-BR"/>
        </w:rPr>
      </w:pPr>
      <w:r w:rsidRPr="001814E9">
        <w:rPr>
          <w:rFonts w:ascii="Arial" w:hAnsi="Arial" w:cs="Arial"/>
          <w:sz w:val="22"/>
          <w:szCs w:val="22"/>
          <w:lang w:eastAsia="pt-BR"/>
        </w:rPr>
        <w:t xml:space="preserve">3. Para fins de determinação dos fluxos dos DISPÊNDIOS marginais, serão utilizados os valores efetivamente incorridos pela PARTE autora do pleito, devidamente comprovados por meio de notas fiscais, comprovantes de depósito ou outros documentos similares. </w:t>
      </w:r>
    </w:p>
    <w:p w14:paraId="70083AE1" w14:textId="77777777" w:rsidR="00915049" w:rsidRPr="001814E9" w:rsidRDefault="00915049" w:rsidP="001814E9">
      <w:pPr>
        <w:suppressAutoHyphens w:val="0"/>
        <w:spacing w:before="120" w:after="120" w:line="360" w:lineRule="auto"/>
        <w:jc w:val="both"/>
        <w:rPr>
          <w:rFonts w:ascii="Arial" w:hAnsi="Arial" w:cs="Arial"/>
          <w:sz w:val="22"/>
          <w:szCs w:val="22"/>
          <w:lang w:eastAsia="pt-BR"/>
        </w:rPr>
      </w:pPr>
    </w:p>
    <w:p w14:paraId="06C7B09E" w14:textId="77777777" w:rsidR="00915049" w:rsidRPr="001814E9" w:rsidRDefault="00915049" w:rsidP="001814E9">
      <w:pPr>
        <w:suppressAutoHyphens w:val="0"/>
        <w:spacing w:before="120" w:after="120" w:line="360" w:lineRule="auto"/>
        <w:jc w:val="both"/>
        <w:rPr>
          <w:rFonts w:ascii="Arial" w:hAnsi="Arial" w:cs="Arial"/>
          <w:sz w:val="22"/>
          <w:szCs w:val="22"/>
          <w:lang w:eastAsia="pt-BR"/>
        </w:rPr>
      </w:pPr>
      <w:r w:rsidRPr="001814E9">
        <w:rPr>
          <w:rFonts w:ascii="Arial" w:hAnsi="Arial" w:cs="Arial"/>
          <w:sz w:val="22"/>
          <w:szCs w:val="22"/>
          <w:lang w:eastAsia="pt-BR"/>
        </w:rPr>
        <w:t xml:space="preserve">4. No caso de necessidade de projeção de DISPÊNDIOS, considerar-se-ão valores teto construídos a partir dos seguintes critérios, na respectiva ordem de prioridade: projeção com base nos DISPÊNDIOS efetivamente realizados, até o limite das orçamentações baseadas em sistemas oficiais de custos; dados oriundos dos sistemas oficiais de custos; relatório de perícia técnica ou avaliação análoga; outros critérios de mercado, inclusive tabelas oficiais de custos. </w:t>
      </w:r>
    </w:p>
    <w:p w14:paraId="1AA3957E" w14:textId="77777777" w:rsidR="001814E9" w:rsidRDefault="001814E9" w:rsidP="001814E9">
      <w:pPr>
        <w:suppressAutoHyphens w:val="0"/>
        <w:spacing w:before="120" w:after="120" w:line="360" w:lineRule="auto"/>
        <w:jc w:val="both"/>
        <w:rPr>
          <w:rFonts w:ascii="Arial" w:hAnsi="Arial" w:cs="Arial"/>
          <w:sz w:val="22"/>
          <w:szCs w:val="22"/>
          <w:lang w:eastAsia="pt-BR"/>
        </w:rPr>
      </w:pPr>
    </w:p>
    <w:p w14:paraId="7D7F7B6D" w14:textId="28483A88" w:rsidR="001B26A3" w:rsidRDefault="00915049" w:rsidP="001814E9">
      <w:pPr>
        <w:suppressAutoHyphens w:val="0"/>
        <w:spacing w:before="120" w:after="120" w:line="360" w:lineRule="auto"/>
        <w:jc w:val="both"/>
        <w:rPr>
          <w:rFonts w:ascii="Arial" w:hAnsi="Arial" w:cs="Arial"/>
          <w:sz w:val="22"/>
          <w:szCs w:val="22"/>
          <w:lang w:eastAsia="pt-BR"/>
        </w:rPr>
      </w:pPr>
      <w:r w:rsidRPr="001814E9">
        <w:rPr>
          <w:rFonts w:ascii="Arial" w:hAnsi="Arial" w:cs="Arial"/>
          <w:sz w:val="22"/>
          <w:szCs w:val="22"/>
          <w:lang w:eastAsia="pt-BR"/>
        </w:rPr>
        <w:t>5. Para fins de determinação das premissas tributárias para aferição dos fluxos de DISPÊNDIO e receitas marginais, serão consideradas aqueles vigentes, incluindo os regimes especiais aplicáveis e os benefícios fiscais eventualmente existentes. No caso de reequilíbrio econômico-financeiro efetivado mediante pagamento financeiro, conforme modalidade prevista no item 1</w:t>
      </w:r>
      <w:r w:rsidR="00565E60" w:rsidRPr="001814E9">
        <w:rPr>
          <w:rFonts w:ascii="Arial" w:hAnsi="Arial" w:cs="Arial"/>
          <w:sz w:val="22"/>
          <w:szCs w:val="22"/>
          <w:lang w:eastAsia="pt-BR"/>
        </w:rPr>
        <w:t>6</w:t>
      </w:r>
      <w:r w:rsidRPr="001814E9">
        <w:rPr>
          <w:rFonts w:ascii="Arial" w:hAnsi="Arial" w:cs="Arial"/>
          <w:sz w:val="22"/>
          <w:szCs w:val="22"/>
          <w:lang w:eastAsia="pt-BR"/>
        </w:rPr>
        <w:t>.</w:t>
      </w:r>
      <w:r w:rsidR="00565E60" w:rsidRPr="001814E9">
        <w:rPr>
          <w:rFonts w:ascii="Arial" w:hAnsi="Arial" w:cs="Arial"/>
          <w:sz w:val="22"/>
          <w:szCs w:val="22"/>
          <w:lang w:eastAsia="pt-BR"/>
        </w:rPr>
        <w:t>6</w:t>
      </w:r>
      <w:r w:rsidRPr="001814E9">
        <w:rPr>
          <w:rFonts w:ascii="Arial" w:hAnsi="Arial" w:cs="Arial"/>
          <w:sz w:val="22"/>
          <w:szCs w:val="22"/>
          <w:lang w:eastAsia="pt-BR"/>
        </w:rPr>
        <w:t xml:space="preserve"> do CONTRATO, os valores requeridos para a recomposição deverão ser atualizados considerando a data do EVENTO DE DESEQUILÍBRIO.</w:t>
      </w:r>
    </w:p>
    <w:p w14:paraId="75FA491F" w14:textId="77777777" w:rsidR="001814E9" w:rsidRDefault="001814E9" w:rsidP="001814E9">
      <w:pPr>
        <w:suppressAutoHyphens w:val="0"/>
        <w:spacing w:before="120" w:after="120" w:line="360" w:lineRule="auto"/>
        <w:jc w:val="both"/>
        <w:rPr>
          <w:rFonts w:ascii="Arial" w:hAnsi="Arial" w:cs="Arial"/>
          <w:sz w:val="22"/>
          <w:szCs w:val="22"/>
          <w:lang w:eastAsia="pt-BR"/>
        </w:rPr>
      </w:pPr>
    </w:p>
    <w:p w14:paraId="6E42F66D" w14:textId="577B260D" w:rsidR="001814E9" w:rsidRPr="001814E9" w:rsidRDefault="001814E9" w:rsidP="001814E9">
      <w:pPr>
        <w:suppressAutoHyphens w:val="0"/>
        <w:spacing w:before="120" w:after="120" w:line="360" w:lineRule="auto"/>
        <w:jc w:val="both"/>
        <w:rPr>
          <w:rFonts w:ascii="Arial" w:hAnsi="Arial" w:cs="Arial"/>
          <w:sz w:val="22"/>
          <w:szCs w:val="22"/>
          <w:lang w:eastAsia="pt-BR"/>
        </w:rPr>
      </w:pPr>
      <w:r>
        <w:rPr>
          <w:rFonts w:ascii="Arial" w:hAnsi="Arial" w:cs="Arial"/>
          <w:sz w:val="22"/>
          <w:szCs w:val="22"/>
          <w:lang w:eastAsia="pt-BR"/>
        </w:rPr>
        <w:t xml:space="preserve">6. </w:t>
      </w:r>
      <w:r w:rsidRPr="001814E9">
        <w:rPr>
          <w:rFonts w:ascii="Arial" w:hAnsi="Arial" w:cs="Arial"/>
          <w:sz w:val="22"/>
          <w:szCs w:val="22"/>
          <w:lang w:eastAsia="pt-BR"/>
        </w:rPr>
        <w:t>Para fins de determinação dos fluxos dos dispêndios marginais, serão utilizados critérios de mercado para estimar o valor dos investimentos, custos e despesas resultantes do evento que deu causa ao desequilíbrio.</w:t>
      </w:r>
    </w:p>
    <w:p w14:paraId="1DD422AD" w14:textId="77777777" w:rsidR="001814E9" w:rsidRPr="001814E9" w:rsidRDefault="001814E9" w:rsidP="001814E9">
      <w:pPr>
        <w:suppressAutoHyphens w:val="0"/>
        <w:spacing w:before="120" w:after="120" w:line="360" w:lineRule="auto"/>
        <w:jc w:val="both"/>
        <w:rPr>
          <w:rFonts w:ascii="Arial" w:hAnsi="Arial" w:cs="Arial"/>
          <w:sz w:val="22"/>
          <w:szCs w:val="22"/>
        </w:rPr>
      </w:pPr>
    </w:p>
    <w:sectPr w:rsidR="001814E9" w:rsidRPr="001814E9">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B6FA29" w14:textId="77777777" w:rsidR="00BD0ED9" w:rsidRDefault="00BD0ED9" w:rsidP="00BD0ED9">
      <w:r>
        <w:separator/>
      </w:r>
    </w:p>
  </w:endnote>
  <w:endnote w:type="continuationSeparator" w:id="0">
    <w:p w14:paraId="79889F03" w14:textId="77777777" w:rsidR="00BD0ED9" w:rsidRDefault="00BD0ED9" w:rsidP="00BD0E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5B9ED7" w14:textId="77777777" w:rsidR="00BD0ED9" w:rsidRDefault="00BD0ED9">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8AAD19" w14:textId="77777777" w:rsidR="00BD0ED9" w:rsidRDefault="00BD0ED9">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8A728F" w14:textId="77777777" w:rsidR="00BD0ED9" w:rsidRDefault="00BD0ED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92278C" w14:textId="77777777" w:rsidR="00BD0ED9" w:rsidRDefault="00BD0ED9" w:rsidP="00BD0ED9">
      <w:r>
        <w:separator/>
      </w:r>
    </w:p>
  </w:footnote>
  <w:footnote w:type="continuationSeparator" w:id="0">
    <w:p w14:paraId="6E5CD148" w14:textId="77777777" w:rsidR="00BD0ED9" w:rsidRDefault="00BD0ED9" w:rsidP="00BD0E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80F64" w14:textId="77777777" w:rsidR="00BD0ED9" w:rsidRDefault="00BD0ED9">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D1F704" w14:textId="77777777" w:rsidR="00BD0ED9" w:rsidRDefault="00BD0ED9">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5F3107" w14:textId="77777777" w:rsidR="00BD0ED9" w:rsidRDefault="00BD0ED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0375F1"/>
    <w:multiLevelType w:val="multilevel"/>
    <w:tmpl w:val="D95E98E0"/>
    <w:lvl w:ilvl="0">
      <w:start w:val="36"/>
      <w:numFmt w:val="decimal"/>
      <w:lvlText w:val="%1."/>
      <w:lvlJc w:val="left"/>
      <w:pPr>
        <w:ind w:left="600" w:hanging="600"/>
      </w:pPr>
      <w:rPr>
        <w:rFonts w:hint="default"/>
        <w:b/>
      </w:rPr>
    </w:lvl>
    <w:lvl w:ilvl="1">
      <w:start w:val="1"/>
      <w:numFmt w:val="decimal"/>
      <w:lvlText w:val="%1.%2."/>
      <w:lvlJc w:val="left"/>
      <w:pPr>
        <w:ind w:left="1320" w:hanging="60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049"/>
    <w:rsid w:val="001814E9"/>
    <w:rsid w:val="001B26A3"/>
    <w:rsid w:val="00414C86"/>
    <w:rsid w:val="004D3D1B"/>
    <w:rsid w:val="004F4ED7"/>
    <w:rsid w:val="00565E60"/>
    <w:rsid w:val="00593D12"/>
    <w:rsid w:val="005C20E3"/>
    <w:rsid w:val="00614DBD"/>
    <w:rsid w:val="006B73C0"/>
    <w:rsid w:val="007E7E11"/>
    <w:rsid w:val="00800462"/>
    <w:rsid w:val="00915049"/>
    <w:rsid w:val="00A729E0"/>
    <w:rsid w:val="00AB7A81"/>
    <w:rsid w:val="00BD0ED9"/>
    <w:rsid w:val="00C03B20"/>
    <w:rsid w:val="00E74EA1"/>
    <w:rsid w:val="00F0400C"/>
    <w:rsid w:val="00F42454"/>
    <w:rsid w:val="00F622D1"/>
    <w:rsid w:val="00F67719"/>
    <w:rsid w:val="00FC466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667FA"/>
  <w15:chartTrackingRefBased/>
  <w15:docId w15:val="{4CD1776A-0897-4150-90C9-9026D79FA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5049"/>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aliases w:val="Lista Paragrafo em Preto,Marca 1,Texto"/>
    <w:basedOn w:val="Normal"/>
    <w:link w:val="PargrafodaListaChar"/>
    <w:uiPriority w:val="1"/>
    <w:qFormat/>
    <w:rsid w:val="00915049"/>
    <w:pPr>
      <w:ind w:left="720"/>
      <w:contextualSpacing/>
    </w:pPr>
  </w:style>
  <w:style w:type="paragraph" w:styleId="Cabealho">
    <w:name w:val="header"/>
    <w:basedOn w:val="Normal"/>
    <w:link w:val="CabealhoChar"/>
    <w:uiPriority w:val="99"/>
    <w:unhideWhenUsed/>
    <w:rsid w:val="00BD0ED9"/>
    <w:pPr>
      <w:tabs>
        <w:tab w:val="center" w:pos="4252"/>
        <w:tab w:val="right" w:pos="8504"/>
      </w:tabs>
    </w:pPr>
  </w:style>
  <w:style w:type="character" w:customStyle="1" w:styleId="CabealhoChar">
    <w:name w:val="Cabeçalho Char"/>
    <w:basedOn w:val="Fontepargpadro"/>
    <w:link w:val="Cabealho"/>
    <w:uiPriority w:val="99"/>
    <w:rsid w:val="00BD0ED9"/>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BD0ED9"/>
    <w:pPr>
      <w:tabs>
        <w:tab w:val="center" w:pos="4252"/>
        <w:tab w:val="right" w:pos="8504"/>
      </w:tabs>
    </w:pPr>
  </w:style>
  <w:style w:type="character" w:customStyle="1" w:styleId="RodapChar">
    <w:name w:val="Rodapé Char"/>
    <w:basedOn w:val="Fontepargpadro"/>
    <w:link w:val="Rodap"/>
    <w:uiPriority w:val="99"/>
    <w:rsid w:val="00BD0ED9"/>
    <w:rPr>
      <w:rFonts w:ascii="Times New Roman" w:eastAsia="Times New Roman" w:hAnsi="Times New Roman" w:cs="Times New Roman"/>
      <w:sz w:val="24"/>
      <w:szCs w:val="24"/>
      <w:lang w:eastAsia="ar-SA"/>
    </w:rPr>
  </w:style>
  <w:style w:type="character" w:styleId="Refdecomentrio">
    <w:name w:val="annotation reference"/>
    <w:basedOn w:val="Fontepargpadro"/>
    <w:uiPriority w:val="99"/>
    <w:semiHidden/>
    <w:unhideWhenUsed/>
    <w:rsid w:val="001814E9"/>
    <w:rPr>
      <w:sz w:val="16"/>
      <w:szCs w:val="16"/>
    </w:rPr>
  </w:style>
  <w:style w:type="paragraph" w:styleId="Textodecomentrio">
    <w:name w:val="annotation text"/>
    <w:basedOn w:val="Normal"/>
    <w:link w:val="TextodecomentrioChar"/>
    <w:uiPriority w:val="99"/>
    <w:semiHidden/>
    <w:unhideWhenUsed/>
    <w:rsid w:val="001814E9"/>
    <w:rPr>
      <w:sz w:val="20"/>
      <w:szCs w:val="20"/>
    </w:rPr>
  </w:style>
  <w:style w:type="character" w:customStyle="1" w:styleId="TextodecomentrioChar">
    <w:name w:val="Texto de comentário Char"/>
    <w:basedOn w:val="Fontepargpadro"/>
    <w:link w:val="Textodecomentrio"/>
    <w:uiPriority w:val="99"/>
    <w:semiHidden/>
    <w:rsid w:val="001814E9"/>
    <w:rPr>
      <w:rFonts w:ascii="Times New Roman" w:eastAsia="Times New Roman" w:hAnsi="Times New Roman" w:cs="Times New Roman"/>
      <w:sz w:val="20"/>
      <w:szCs w:val="20"/>
      <w:lang w:eastAsia="ar-SA"/>
    </w:rPr>
  </w:style>
  <w:style w:type="paragraph" w:styleId="Assuntodocomentrio">
    <w:name w:val="annotation subject"/>
    <w:basedOn w:val="Textodecomentrio"/>
    <w:next w:val="Textodecomentrio"/>
    <w:link w:val="AssuntodocomentrioChar"/>
    <w:uiPriority w:val="99"/>
    <w:semiHidden/>
    <w:unhideWhenUsed/>
    <w:rsid w:val="001814E9"/>
    <w:rPr>
      <w:b/>
      <w:bCs/>
    </w:rPr>
  </w:style>
  <w:style w:type="character" w:customStyle="1" w:styleId="AssuntodocomentrioChar">
    <w:name w:val="Assunto do comentário Char"/>
    <w:basedOn w:val="TextodecomentrioChar"/>
    <w:link w:val="Assuntodocomentrio"/>
    <w:uiPriority w:val="99"/>
    <w:semiHidden/>
    <w:rsid w:val="001814E9"/>
    <w:rPr>
      <w:rFonts w:ascii="Times New Roman" w:eastAsia="Times New Roman" w:hAnsi="Times New Roman" w:cs="Times New Roman"/>
      <w:b/>
      <w:bCs/>
      <w:sz w:val="20"/>
      <w:szCs w:val="20"/>
      <w:lang w:eastAsia="ar-SA"/>
    </w:rPr>
  </w:style>
  <w:style w:type="paragraph" w:styleId="Textodebalo">
    <w:name w:val="Balloon Text"/>
    <w:basedOn w:val="Normal"/>
    <w:link w:val="TextodebaloChar"/>
    <w:uiPriority w:val="99"/>
    <w:semiHidden/>
    <w:unhideWhenUsed/>
    <w:rsid w:val="001814E9"/>
    <w:rPr>
      <w:rFonts w:ascii="Segoe UI" w:hAnsi="Segoe UI" w:cs="Segoe UI"/>
      <w:sz w:val="18"/>
      <w:szCs w:val="18"/>
    </w:rPr>
  </w:style>
  <w:style w:type="character" w:customStyle="1" w:styleId="TextodebaloChar">
    <w:name w:val="Texto de balão Char"/>
    <w:basedOn w:val="Fontepargpadro"/>
    <w:link w:val="Textodebalo"/>
    <w:uiPriority w:val="99"/>
    <w:semiHidden/>
    <w:rsid w:val="001814E9"/>
    <w:rPr>
      <w:rFonts w:ascii="Segoe UI" w:eastAsia="Times New Roman" w:hAnsi="Segoe UI" w:cs="Segoe UI"/>
      <w:sz w:val="18"/>
      <w:szCs w:val="18"/>
      <w:lang w:eastAsia="ar-SA"/>
    </w:rPr>
  </w:style>
  <w:style w:type="character" w:customStyle="1" w:styleId="PargrafodaListaChar">
    <w:name w:val="Parágrafo da Lista Char"/>
    <w:aliases w:val="Lista Paragrafo em Preto Char,Marca 1 Char,Texto Char"/>
    <w:basedOn w:val="Fontepargpadro"/>
    <w:link w:val="PargrafodaLista"/>
    <w:uiPriority w:val="1"/>
    <w:locked/>
    <w:rsid w:val="001814E9"/>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
</file>

<file path=customXml/itemProps1.xml><?xml version="1.0" encoding="utf-8"?>
<ds:datastoreItem xmlns:ds="http://schemas.openxmlformats.org/officeDocument/2006/customXml" ds:itemID="{D688AB9D-B2E4-48FB-B2F2-D93142C39902}">
  <ds:schemaRefs>
    <ds:schemaRef ds:uri="http://www.imanage.com/work/xmlschem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578</Words>
  <Characters>3124</Characters>
  <Application>Microsoft Office Word</Application>
  <DocSecurity>0</DocSecurity>
  <Lines>26</Lines>
  <Paragraphs>7</Paragraphs>
  <ScaleCrop>false</ScaleCrop>
  <Company/>
  <LinksUpToDate>false</LinksUpToDate>
  <CharactersWithSpaces>3695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Claudio Guerreiro</dc:creator>
  <cp:keywords/>
  <dc:description/>
  <cp:lastModifiedBy>Mauricio Cardoso Gelelete</cp:lastModifiedBy>
  <cp:revision>6</cp:revision>
  <dcterms:created xsi:type="dcterms:W3CDTF">2021-09-01T15:58:00Z</dcterms:created>
  <dcterms:modified xsi:type="dcterms:W3CDTF">2021-11-16T16:12:00Z</dcterms:modified>
</cp:coreProperties>
</file>